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147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95"/>
        <w:textAlignment w:val="auto"/>
        <w:outlineLvl w:val="3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老旧营运货车报废更新补贴标准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86"/>
        <w:textAlignment w:val="auto"/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8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一、提前报废老旧营运货车补贴标准见表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" w:right="115" w:firstLine="657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二、提前报废老旧营运货车，并新购营运货车补贴标准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按以下方法计算：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6" w:right="115" w:firstLine="62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报废并新购国六排放标准营运货车补贴=提前报废老旧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营运货车补贴+新购国六排放标准营运货车补贴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3" w:right="115" w:firstLine="65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报废并新购新能源货车补贴=提前报废老旧营运货车补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贴+新购新能源营运货车补贴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3" w:right="31" w:firstLine="642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其中，新购国六排放标准营运货车或新能源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营运货车补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贴标准见表</w:t>
      </w:r>
      <w:r>
        <w:rPr>
          <w:rFonts w:hint="eastAsia" w:ascii="仿宋_GB2312" w:hAnsi="仿宋_GB2312" w:eastAsia="仿宋_GB2312" w:cs="仿宋_GB2312"/>
          <w:spacing w:val="-4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2。报废老旧营运货车提前报废时间不足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5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可以申请新购营运货车补贴。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6" w:right="114" w:firstLine="653"/>
        <w:textAlignment w:val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三、仅新购新能源城市冷链配送货车补贴标准为3.5</w:t>
      </w:r>
      <w:r>
        <w:rPr>
          <w:rFonts w:hint="eastAsia" w:ascii="仿宋_GB2312" w:hAnsi="仿宋_GB2312" w:eastAsia="仿宋_GB2312" w:cs="仿宋_GB2312"/>
          <w:spacing w:val="-4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元/辆。</w:t>
      </w:r>
    </w:p>
    <w:p>
      <w:pPr>
        <w:spacing w:before="1" w:line="210" w:lineRule="auto"/>
        <w:ind w:left="203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表</w:t>
      </w:r>
      <w:r>
        <w:rPr>
          <w:rFonts w:ascii="黑体" w:hAnsi="黑体" w:eastAsia="黑体" w:cs="黑体"/>
          <w:spacing w:val="-3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4"/>
          <w:sz w:val="28"/>
          <w:szCs w:val="28"/>
        </w:rPr>
        <w:t>1</w:t>
      </w:r>
      <w:r>
        <w:rPr>
          <w:rFonts w:ascii="黑体" w:hAnsi="黑体" w:eastAsia="黑体" w:cs="黑体"/>
          <w:spacing w:val="-60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4"/>
          <w:sz w:val="28"/>
          <w:szCs w:val="28"/>
        </w:rPr>
        <w:t>提前报废老旧营运货车补贴标准</w:t>
      </w: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3650"/>
        <w:gridCol w:w="31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776" w:type="dxa"/>
            <w:vAlign w:val="top"/>
          </w:tcPr>
          <w:p>
            <w:pPr>
              <w:spacing w:before="200" w:line="219" w:lineRule="auto"/>
              <w:ind w:left="4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车辆类型</w:t>
            </w:r>
          </w:p>
        </w:tc>
        <w:tc>
          <w:tcPr>
            <w:tcW w:w="3650" w:type="dxa"/>
            <w:vAlign w:val="top"/>
          </w:tcPr>
          <w:p>
            <w:pPr>
              <w:spacing w:before="198" w:line="222" w:lineRule="auto"/>
              <w:ind w:left="1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提前报废时间</w:t>
            </w:r>
          </w:p>
        </w:tc>
        <w:tc>
          <w:tcPr>
            <w:tcW w:w="3100" w:type="dxa"/>
            <w:vAlign w:val="top"/>
          </w:tcPr>
          <w:p>
            <w:pPr>
              <w:spacing w:before="198" w:line="222" w:lineRule="auto"/>
              <w:ind w:left="4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补贴标准（万元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76" w:type="dxa"/>
            <w:vMerge w:val="restart"/>
            <w:tcBorders>
              <w:bottom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692"/>
            </w:pPr>
            <w:r>
              <w:rPr>
                <w:spacing w:val="-24"/>
              </w:rPr>
              <w:t>中型</w:t>
            </w:r>
          </w:p>
        </w:tc>
        <w:tc>
          <w:tcPr>
            <w:tcW w:w="3650" w:type="dxa"/>
            <w:vAlign w:val="top"/>
          </w:tcPr>
          <w:p>
            <w:pPr>
              <w:pStyle w:val="7"/>
              <w:spacing w:before="197" w:line="219" w:lineRule="auto"/>
              <w:ind w:left="640"/>
            </w:pPr>
            <w:r>
              <w:rPr>
                <w:spacing w:val="-8"/>
              </w:rPr>
              <w:t>满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</w:t>
            </w:r>
            <w:r>
              <w:rPr>
                <w:spacing w:val="-8"/>
              </w:rPr>
              <w:t>年（含）不足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</w:t>
            </w:r>
            <w:r>
              <w:rPr>
                <w:spacing w:val="-8"/>
              </w:rPr>
              <w:t>年</w:t>
            </w:r>
          </w:p>
        </w:tc>
        <w:tc>
          <w:tcPr>
            <w:tcW w:w="3100" w:type="dxa"/>
            <w:vAlign w:val="top"/>
          </w:tcPr>
          <w:p>
            <w:pPr>
              <w:spacing w:before="248" w:line="189" w:lineRule="auto"/>
              <w:ind w:left="14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1.0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50" w:type="dxa"/>
            <w:vAlign w:val="top"/>
          </w:tcPr>
          <w:p>
            <w:pPr>
              <w:pStyle w:val="7"/>
              <w:spacing w:before="197" w:line="219" w:lineRule="auto"/>
              <w:ind w:left="640"/>
            </w:pPr>
            <w:r>
              <w:rPr>
                <w:spacing w:val="-5"/>
              </w:rPr>
              <w:t>满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</w:t>
            </w:r>
            <w:r>
              <w:rPr>
                <w:spacing w:val="-5"/>
              </w:rPr>
              <w:t>年（含）不足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</w:t>
            </w:r>
            <w:r>
              <w:rPr>
                <w:spacing w:val="-5"/>
              </w:rPr>
              <w:t>年</w:t>
            </w:r>
          </w:p>
        </w:tc>
        <w:tc>
          <w:tcPr>
            <w:tcW w:w="3100" w:type="dxa"/>
            <w:vAlign w:val="top"/>
          </w:tcPr>
          <w:p>
            <w:pPr>
              <w:spacing w:before="250" w:line="189" w:lineRule="auto"/>
              <w:ind w:left="14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1.8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50" w:type="dxa"/>
            <w:vAlign w:val="top"/>
          </w:tcPr>
          <w:p>
            <w:pPr>
              <w:pStyle w:val="7"/>
              <w:spacing w:before="198" w:line="221" w:lineRule="auto"/>
              <w:ind w:left="880"/>
            </w:pPr>
            <w:r>
              <w:rPr>
                <w:spacing w:val="-13"/>
              </w:rPr>
              <w:t>满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年（含）</w:t>
            </w:r>
            <w:r>
              <w:rPr>
                <w:spacing w:val="-64"/>
              </w:rPr>
              <w:t xml:space="preserve"> </w:t>
            </w:r>
            <w:r>
              <w:rPr>
                <w:spacing w:val="-13"/>
              </w:rPr>
              <w:t>以上</w:t>
            </w:r>
          </w:p>
        </w:tc>
        <w:tc>
          <w:tcPr>
            <w:tcW w:w="3100" w:type="dxa"/>
            <w:vAlign w:val="top"/>
          </w:tcPr>
          <w:p>
            <w:pPr>
              <w:spacing w:before="250" w:line="189" w:lineRule="auto"/>
              <w:ind w:left="141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76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4" w:lineRule="auto"/>
              <w:ind w:left="668"/>
            </w:pPr>
            <w:r>
              <w:rPr>
                <w:spacing w:val="-12"/>
              </w:rPr>
              <w:t>重型</w:t>
            </w:r>
          </w:p>
        </w:tc>
        <w:tc>
          <w:tcPr>
            <w:tcW w:w="3650" w:type="dxa"/>
            <w:vAlign w:val="top"/>
          </w:tcPr>
          <w:p>
            <w:pPr>
              <w:pStyle w:val="7"/>
              <w:spacing w:before="199" w:line="219" w:lineRule="auto"/>
              <w:ind w:left="640"/>
            </w:pPr>
            <w:r>
              <w:rPr>
                <w:spacing w:val="-8"/>
              </w:rPr>
              <w:t>满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</w:t>
            </w:r>
            <w:r>
              <w:rPr>
                <w:spacing w:val="-8"/>
              </w:rPr>
              <w:t>年（含）不足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</w:t>
            </w:r>
            <w:r>
              <w:rPr>
                <w:spacing w:val="-8"/>
              </w:rPr>
              <w:t>年</w:t>
            </w:r>
          </w:p>
        </w:tc>
        <w:tc>
          <w:tcPr>
            <w:tcW w:w="3100" w:type="dxa"/>
            <w:vAlign w:val="top"/>
          </w:tcPr>
          <w:p>
            <w:pPr>
              <w:spacing w:before="252" w:line="189" w:lineRule="auto"/>
              <w:ind w:left="14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1.2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50" w:type="dxa"/>
            <w:vAlign w:val="top"/>
          </w:tcPr>
          <w:p>
            <w:pPr>
              <w:pStyle w:val="7"/>
              <w:spacing w:before="201" w:line="219" w:lineRule="auto"/>
              <w:ind w:left="640"/>
            </w:pPr>
            <w:r>
              <w:rPr>
                <w:spacing w:val="-5"/>
              </w:rPr>
              <w:t>满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</w:t>
            </w:r>
            <w:r>
              <w:rPr>
                <w:spacing w:val="-5"/>
              </w:rPr>
              <w:t>年（含）不足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</w:t>
            </w:r>
            <w:r>
              <w:rPr>
                <w:spacing w:val="-5"/>
              </w:rPr>
              <w:t>年</w:t>
            </w:r>
          </w:p>
        </w:tc>
        <w:tc>
          <w:tcPr>
            <w:tcW w:w="3100" w:type="dxa"/>
            <w:vAlign w:val="top"/>
          </w:tcPr>
          <w:p>
            <w:pPr>
              <w:spacing w:before="252" w:line="189" w:lineRule="auto"/>
              <w:ind w:left="14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7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50" w:type="dxa"/>
            <w:vAlign w:val="top"/>
          </w:tcPr>
          <w:p>
            <w:pPr>
              <w:pStyle w:val="7"/>
              <w:spacing w:before="199" w:line="221" w:lineRule="auto"/>
              <w:ind w:left="880"/>
            </w:pPr>
            <w:r>
              <w:rPr>
                <w:spacing w:val="-13"/>
              </w:rPr>
              <w:t>满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年（含）</w:t>
            </w:r>
            <w:r>
              <w:rPr>
                <w:spacing w:val="-64"/>
              </w:rPr>
              <w:t xml:space="preserve"> </w:t>
            </w:r>
            <w:r>
              <w:rPr>
                <w:spacing w:val="-13"/>
              </w:rPr>
              <w:t>以上</w:t>
            </w:r>
          </w:p>
        </w:tc>
        <w:tc>
          <w:tcPr>
            <w:tcW w:w="3100" w:type="dxa"/>
            <w:vAlign w:val="top"/>
          </w:tcPr>
          <w:p>
            <w:pPr>
              <w:spacing w:before="253" w:line="189" w:lineRule="auto"/>
              <w:ind w:left="141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4.5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9"/>
          <w:pgMar w:top="2098" w:right="1531" w:bottom="1984" w:left="1531" w:header="0" w:footer="985" w:gutter="0"/>
          <w:pgNumType w:fmt="decimal"/>
          <w:cols w:space="720" w:num="1"/>
        </w:sectPr>
      </w:pPr>
    </w:p>
    <w:p>
      <w:pPr>
        <w:spacing w:before="88" w:line="211" w:lineRule="auto"/>
        <w:rPr>
          <w:rFonts w:ascii="黑体" w:hAnsi="黑体" w:eastAsia="黑体" w:cs="黑体"/>
          <w:spacing w:val="-4"/>
          <w:sz w:val="28"/>
          <w:szCs w:val="28"/>
        </w:rPr>
      </w:pPr>
    </w:p>
    <w:p>
      <w:pPr>
        <w:spacing w:before="88" w:line="211" w:lineRule="auto"/>
        <w:ind w:left="259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表</w:t>
      </w:r>
      <w:r>
        <w:rPr>
          <w:rFonts w:ascii="黑体" w:hAnsi="黑体" w:eastAsia="黑体" w:cs="黑体"/>
          <w:spacing w:val="-5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4"/>
          <w:sz w:val="28"/>
          <w:szCs w:val="28"/>
        </w:rPr>
        <w:t>2</w:t>
      </w:r>
      <w:r>
        <w:rPr>
          <w:rFonts w:ascii="黑体" w:hAnsi="黑体" w:eastAsia="黑体" w:cs="黑体"/>
          <w:spacing w:val="-54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4"/>
          <w:sz w:val="28"/>
          <w:szCs w:val="28"/>
        </w:rPr>
        <w:t>新购营运货车补贴标准</w:t>
      </w: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501"/>
        <w:gridCol w:w="3598"/>
        <w:gridCol w:w="27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2204" w:type="dxa"/>
            <w:gridSpan w:val="2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车辆类型</w:t>
            </w:r>
          </w:p>
        </w:tc>
        <w:tc>
          <w:tcPr>
            <w:tcW w:w="3598" w:type="dxa"/>
            <w:vAlign w:val="top"/>
          </w:tcPr>
          <w:p>
            <w:pPr>
              <w:spacing w:before="150" w:line="280" w:lineRule="auto"/>
              <w:ind w:left="701" w:right="346" w:hanging="3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新购国六排放标准营运货车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补贴标准（万元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辆）</w:t>
            </w:r>
          </w:p>
        </w:tc>
        <w:tc>
          <w:tcPr>
            <w:tcW w:w="2724" w:type="dxa"/>
            <w:vAlign w:val="top"/>
          </w:tcPr>
          <w:p>
            <w:pPr>
              <w:spacing w:before="150" w:line="280" w:lineRule="auto"/>
              <w:ind w:left="265" w:right="262" w:firstLine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新购新能源营运货车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补贴标准（万元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204" w:type="dxa"/>
            <w:gridSpan w:val="2"/>
            <w:vAlign w:val="top"/>
          </w:tcPr>
          <w:p>
            <w:pPr>
              <w:spacing w:before="196" w:line="222" w:lineRule="auto"/>
              <w:ind w:left="9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中型</w:t>
            </w:r>
          </w:p>
        </w:tc>
        <w:tc>
          <w:tcPr>
            <w:tcW w:w="3598" w:type="dxa"/>
            <w:vAlign w:val="top"/>
          </w:tcPr>
          <w:p>
            <w:pPr>
              <w:spacing w:before="237" w:line="188" w:lineRule="auto"/>
              <w:ind w:left="16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2.5</w:t>
            </w:r>
          </w:p>
        </w:tc>
        <w:tc>
          <w:tcPr>
            <w:tcW w:w="2724" w:type="dxa"/>
            <w:vAlign w:val="top"/>
          </w:tcPr>
          <w:p>
            <w:pPr>
              <w:spacing w:before="237" w:line="188" w:lineRule="auto"/>
              <w:ind w:left="1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78" w:line="227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重型</w:t>
            </w:r>
          </w:p>
        </w:tc>
        <w:tc>
          <w:tcPr>
            <w:tcW w:w="1501" w:type="dxa"/>
            <w:vAlign w:val="top"/>
          </w:tcPr>
          <w:p>
            <w:pPr>
              <w:spacing w:before="198" w:line="220" w:lineRule="auto"/>
              <w:ind w:left="5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轴</w:t>
            </w:r>
          </w:p>
        </w:tc>
        <w:tc>
          <w:tcPr>
            <w:tcW w:w="3598" w:type="dxa"/>
            <w:vAlign w:val="top"/>
          </w:tcPr>
          <w:p>
            <w:pPr>
              <w:spacing w:before="237" w:line="188" w:lineRule="auto"/>
              <w:ind w:left="16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4.0</w:t>
            </w:r>
          </w:p>
        </w:tc>
        <w:tc>
          <w:tcPr>
            <w:tcW w:w="2724" w:type="dxa"/>
            <w:vAlign w:val="top"/>
          </w:tcPr>
          <w:p>
            <w:pPr>
              <w:spacing w:before="237" w:line="188" w:lineRule="auto"/>
              <w:ind w:left="1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spacing w:before="198" w:line="220" w:lineRule="auto"/>
              <w:ind w:left="5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轴</w:t>
            </w:r>
          </w:p>
        </w:tc>
        <w:tc>
          <w:tcPr>
            <w:tcW w:w="3598" w:type="dxa"/>
            <w:vAlign w:val="top"/>
          </w:tcPr>
          <w:p>
            <w:pPr>
              <w:spacing w:before="243" w:line="185" w:lineRule="auto"/>
              <w:ind w:left="16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5.5</w:t>
            </w:r>
          </w:p>
        </w:tc>
        <w:tc>
          <w:tcPr>
            <w:tcW w:w="2724" w:type="dxa"/>
            <w:vAlign w:val="top"/>
          </w:tcPr>
          <w:p>
            <w:pPr>
              <w:spacing w:before="239" w:line="188" w:lineRule="auto"/>
              <w:ind w:left="1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8.5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spacing w:before="200" w:line="220" w:lineRule="auto"/>
              <w:ind w:left="1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4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轴及以上</w:t>
            </w:r>
          </w:p>
        </w:tc>
        <w:tc>
          <w:tcPr>
            <w:tcW w:w="3598" w:type="dxa"/>
            <w:vAlign w:val="top"/>
          </w:tcPr>
          <w:p>
            <w:pPr>
              <w:spacing w:before="239" w:line="188" w:lineRule="auto"/>
              <w:ind w:left="16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6.5</w:t>
            </w:r>
          </w:p>
        </w:tc>
        <w:tc>
          <w:tcPr>
            <w:tcW w:w="2724" w:type="dxa"/>
            <w:vAlign w:val="top"/>
          </w:tcPr>
          <w:p>
            <w:pPr>
              <w:spacing w:before="239" w:line="188" w:lineRule="auto"/>
              <w:ind w:left="1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9.5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F9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简体" w:hAnsi="方正小标宋简体" w:eastAsia="方正小标宋简体" w:cs="方正小标宋简体"/>
      <w:sz w:val="71"/>
      <w:szCs w:val="7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2025-07-08T10:22:19Z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